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Williams Center Facility Use Agreement</w:t>
      </w:r>
    </w:p>
    <w:p>
      <w:pPr>
        <w:pStyle w:val="Subtitle"/>
      </w:pPr>
      <w:r>
        <w:t>Reservation and payment details</w:t>
      </w:r>
    </w:p>
    <w:p>
      <w:r>
        <w:t>This agreement is between Gloucester-Mathews Humane Society (GMHS) and the person or organization named below (the Organizer). It sets out the reserved space, payment arrangements and responsibilities for using The Williams Center. Facility use supports GMHS animals and programs.</w:t>
      </w:r>
    </w:p>
    <w:p>
      <w:pPr>
        <w:pStyle w:val="Heading1"/>
      </w:pPr>
      <w:r>
        <w:t>Organizer and event</w:t>
      </w:r>
    </w:p>
    <w:p>
      <w:pPr>
        <w:spacing w:after="200" w:before="60"/>
      </w:pPr>
      <w:r>
        <w:t>Organizer or organization: _____________________________________________________</w:t>
      </w:r>
    </w:p>
    <w:p>
      <w:pPr>
        <w:spacing w:after="200" w:before="60"/>
      </w:pPr>
      <w:r>
        <w:t>Mailing address: ______________________________________________________________</w:t>
      </w:r>
    </w:p>
    <w:p>
      <w:pPr>
        <w:spacing w:after="200" w:before="60"/>
      </w:pPr>
      <w:r>
        <w:t>City, state and ZIP: _____________________________________________________________</w:t>
      </w:r>
    </w:p>
    <w:p>
      <w:pPr>
        <w:spacing w:after="200" w:before="60"/>
      </w:pPr>
      <w:r>
        <w:t>Phone: _______________________   Email: ________________________________________</w:t>
      </w:r>
    </w:p>
    <w:p>
      <w:pPr>
        <w:spacing w:after="200" w:before="60"/>
      </w:pPr>
      <w:r>
        <w:t>On-site contact: __________________________   Mobile: _____________________________</w:t>
      </w:r>
    </w:p>
    <w:p>
      <w:pPr>
        <w:spacing w:after="200" w:before="60"/>
      </w:pPr>
      <w:r>
        <w:t>Event name or type: ______________________________   Event date: __________________</w:t>
      </w:r>
    </w:p>
    <w:p>
      <w:pPr>
        <w:spacing w:after="200" w:before="60"/>
      </w:pPr>
      <w:r>
        <w:t>Event start: ______________   Event end: ______________   Expected attendance: __________</w:t>
      </w:r>
    </w:p>
    <w:p>
      <w:pPr>
        <w:spacing w:after="200" w:before="60"/>
      </w:pPr>
      <w:r>
        <w:t>Approved access for setup: ______________   Cleanup and removal deadline: ______________</w:t>
      </w:r>
    </w:p>
    <w:p>
      <w:pPr>
        <w:spacing w:after="200" w:before="60"/>
      </w:pPr>
      <w:r>
        <w:t>Reserved rooms and areas: ______________________________________________________</w:t>
      </w:r>
    </w:p>
    <w:p>
      <w:pPr>
        <w:spacing w:after="200" w:before="60"/>
      </w:pPr>
      <w:r>
        <w:t>Included equipment and services: __________________________________________________</w:t>
      </w:r>
    </w:p>
    <w:p>
      <w:r>
        <w:t>Alcohol planned?  ☐ No   ☐ Yes     If yes, complete the alcohol requirements on page 2.</w:t>
      </w:r>
    </w:p>
    <w:p>
      <w:pPr>
        <w:pStyle w:val="Heading1"/>
      </w:pPr>
      <w:r>
        <w:t>Donation and security deposit</w:t>
      </w:r>
    </w:p>
    <w:p>
      <w:r>
        <w:t>The total below covers the reserved rooms and agreed services, including any approved extras. The booking deposit counts toward that total. The refundable security deposit is separate.</w:t>
      </w:r>
    </w:p>
    <w:tbl>
      <w:tblPr>
        <w:tblW w:type="auto" w:w="0"/>
        <w:tblLayout w:type="fixed"/>
        <w:tblLook w:firstColumn="1" w:firstRow="1" w:lastColumn="0" w:lastRow="0" w:noHBand="0" w:noVBand="1" w:val="04A0"/>
      </w:tblPr>
      <w:tblGrid>
        <w:gridCol w:w="7344"/>
        <w:gridCol w:w="2736"/>
      </w:tblGrid>
      <w:tr>
        <w:tc>
          <w:tcPr>
            <w:tcW w:type="dxa" w:w="5040"/>
            <w:tcBorders>
              <w:top w:val="single" w:sz="4" w:color="D9D9D9"/>
              <w:left w:val="single" w:sz="4" w:color="D9D9D9"/>
              <w:bottom w:val="single" w:sz="4" w:color="D9D9D9"/>
              <w:right w:val="single" w:sz="4" w:color="D9D9D9"/>
            </w:tcBorders>
            <w:tcMar>
              <w:top w:w="95" w:type="dxa"/>
              <w:left w:w="95" w:type="dxa"/>
              <w:bottom w:w="95" w:type="dxa"/>
              <w:right w:w="95" w:type="dxa"/>
            </w:tcMar>
            <w:shd w:fill="E7EBEF"/>
            <w:vAlign w:val="center"/>
          </w:tcPr>
          <w:p>
            <w:pPr>
              <w:spacing w:after="0"/>
            </w:pPr>
            <w:r>
              <w:rPr>
                <w:b/>
                <w:sz w:val="20"/>
              </w:rPr>
              <w:t>Payment item</w:t>
            </w:r>
          </w:p>
        </w:tc>
        <w:tc>
          <w:tcPr>
            <w:tcW w:type="dxa" w:w="5040"/>
            <w:tcBorders>
              <w:top w:val="single" w:sz="4" w:color="D9D9D9"/>
              <w:left w:val="single" w:sz="4" w:color="D9D9D9"/>
              <w:bottom w:val="single" w:sz="4" w:color="D9D9D9"/>
              <w:right w:val="single" w:sz="4" w:color="D9D9D9"/>
            </w:tcBorders>
            <w:tcMar>
              <w:top w:w="95" w:type="dxa"/>
              <w:left w:w="95" w:type="dxa"/>
              <w:bottom w:w="95" w:type="dxa"/>
              <w:right w:w="95" w:type="dxa"/>
            </w:tcMar>
            <w:shd w:fill="E7EBEF"/>
            <w:vAlign w:val="center"/>
          </w:tcPr>
          <w:p>
            <w:pPr>
              <w:spacing w:after="0"/>
            </w:pPr>
            <w:r>
              <w:rPr>
                <w:b/>
                <w:sz w:val="20"/>
              </w:rPr>
              <w:t>Amount or due date</w:t>
            </w:r>
          </w:p>
        </w:tc>
      </w:tr>
      <w:tr>
        <w:tc>
          <w:tcPr>
            <w:tcW w:type="dxa" w:w="7344"/>
            <w:tcBorders>
              <w:top w:val="single" w:sz="4" w:color="D9D9D9"/>
              <w:left w:val="single" w:sz="4" w:color="D9D9D9"/>
              <w:bottom w:val="single" w:sz="4" w:color="D9D9D9"/>
              <w:right w:val="single" w:sz="4" w:color="D9D9D9"/>
            </w:tcBorders>
            <w:tcMar>
              <w:top w:w="95" w:type="dxa"/>
              <w:left w:w="95" w:type="dxa"/>
              <w:bottom w:w="95" w:type="dxa"/>
              <w:right w:w="95" w:type="dxa"/>
            </w:tcMar>
            <w:shd w:fill="F5F7F8"/>
            <w:vAlign w:val="center"/>
          </w:tcPr>
          <w:p>
            <w:pPr>
              <w:spacing w:after="0"/>
            </w:pPr>
            <w:r>
              <w:rPr>
                <w:b/>
                <w:sz w:val="20"/>
              </w:rPr>
              <w:t>Total agreed facility-use donation</w:t>
            </w:r>
          </w:p>
        </w:tc>
        <w:tc>
          <w:tcPr>
            <w:tcW w:type="dxa" w:w="2736"/>
            <w:tcBorders>
              <w:top w:val="single" w:sz="4" w:color="D9D9D9"/>
              <w:left w:val="single" w:sz="4" w:color="D9D9D9"/>
              <w:bottom w:val="single" w:sz="4" w:color="D9D9D9"/>
              <w:right w:val="single" w:sz="4" w:color="D9D9D9"/>
            </w:tcBorders>
            <w:tcMar>
              <w:top w:w="95" w:type="dxa"/>
              <w:left w:w="95" w:type="dxa"/>
              <w:bottom w:w="95" w:type="dxa"/>
              <w:right w:w="95" w:type="dxa"/>
            </w:tcMar>
            <w:shd w:fill="F5F7F8"/>
            <w:vAlign w:val="center"/>
          </w:tcPr>
          <w:p>
            <w:pPr>
              <w:spacing w:after="0"/>
            </w:pPr>
            <w:r>
              <w:rPr>
                <w:b/>
                <w:sz w:val="20"/>
              </w:rPr>
              <w:t>$________________</w:t>
            </w:r>
          </w:p>
        </w:tc>
      </w:tr>
      <w:tr>
        <w:tc>
          <w:tcPr>
            <w:tcW w:type="dxa" w:w="7344"/>
            <w:tcBorders>
              <w:top w:val="single" w:sz="4" w:color="D9D9D9"/>
              <w:left w:val="single" w:sz="4" w:color="D9D9D9"/>
              <w:bottom w:val="single" w:sz="4" w:color="D9D9D9"/>
              <w:right w:val="single" w:sz="4" w:color="D9D9D9"/>
            </w:tcBorders>
            <w:tcMar>
              <w:top w:w="95" w:type="dxa"/>
              <w:left w:w="95" w:type="dxa"/>
              <w:bottom w:w="95" w:type="dxa"/>
              <w:right w:w="95" w:type="dxa"/>
            </w:tcMar>
            <w:shd w:fill="FFFFFF"/>
            <w:vAlign w:val="center"/>
          </w:tcPr>
          <w:p>
            <w:pPr>
              <w:spacing w:after="0"/>
            </w:pPr>
            <w:r>
              <w:rPr>
                <w:b w:val="0"/>
                <w:sz w:val="20"/>
              </w:rPr>
              <w:t>Booking deposit of 25% due with signed agreement</w:t>
            </w:r>
          </w:p>
        </w:tc>
        <w:tc>
          <w:tcPr>
            <w:tcW w:type="dxa" w:w="2736"/>
            <w:tcBorders>
              <w:top w:val="single" w:sz="4" w:color="D9D9D9"/>
              <w:left w:val="single" w:sz="4" w:color="D9D9D9"/>
              <w:bottom w:val="single" w:sz="4" w:color="D9D9D9"/>
              <w:right w:val="single" w:sz="4" w:color="D9D9D9"/>
            </w:tcBorders>
            <w:tcMar>
              <w:top w:w="95" w:type="dxa"/>
              <w:left w:w="95" w:type="dxa"/>
              <w:bottom w:w="95" w:type="dxa"/>
              <w:right w:w="95" w:type="dxa"/>
            </w:tcMar>
            <w:shd w:fill="FFFFFF"/>
            <w:vAlign w:val="center"/>
          </w:tcPr>
          <w:p>
            <w:pPr>
              <w:spacing w:after="0"/>
            </w:pPr>
            <w:r>
              <w:rPr>
                <w:b w:val="0"/>
                <w:sz w:val="20"/>
              </w:rPr>
              <w:t>$________________</w:t>
            </w:r>
          </w:p>
        </w:tc>
      </w:tr>
      <w:tr>
        <w:tc>
          <w:tcPr>
            <w:tcW w:type="dxa" w:w="7344"/>
            <w:tcBorders>
              <w:top w:val="single" w:sz="4" w:color="D9D9D9"/>
              <w:left w:val="single" w:sz="4" w:color="D9D9D9"/>
              <w:bottom w:val="single" w:sz="4" w:color="D9D9D9"/>
              <w:right w:val="single" w:sz="4" w:color="D9D9D9"/>
            </w:tcBorders>
            <w:tcMar>
              <w:top w:w="95" w:type="dxa"/>
              <w:left w:w="95" w:type="dxa"/>
              <w:bottom w:w="95" w:type="dxa"/>
              <w:right w:w="95" w:type="dxa"/>
            </w:tcMar>
            <w:shd w:fill="F5F7F8"/>
            <w:vAlign w:val="center"/>
          </w:tcPr>
          <w:p>
            <w:pPr>
              <w:spacing w:after="0"/>
            </w:pPr>
            <w:r>
              <w:rPr>
                <w:b w:val="0"/>
                <w:sz w:val="20"/>
              </w:rPr>
              <w:t>Remaining balance of 75% due 30 days before the event</w:t>
            </w:r>
          </w:p>
        </w:tc>
        <w:tc>
          <w:tcPr>
            <w:tcW w:type="dxa" w:w="2736"/>
            <w:tcBorders>
              <w:top w:val="single" w:sz="4" w:color="D9D9D9"/>
              <w:left w:val="single" w:sz="4" w:color="D9D9D9"/>
              <w:bottom w:val="single" w:sz="4" w:color="D9D9D9"/>
              <w:right w:val="single" w:sz="4" w:color="D9D9D9"/>
            </w:tcBorders>
            <w:tcMar>
              <w:top w:w="95" w:type="dxa"/>
              <w:left w:w="95" w:type="dxa"/>
              <w:bottom w:w="95" w:type="dxa"/>
              <w:right w:w="95" w:type="dxa"/>
            </w:tcMar>
            <w:shd w:fill="F5F7F8"/>
            <w:vAlign w:val="center"/>
          </w:tcPr>
          <w:p>
            <w:pPr>
              <w:spacing w:after="0"/>
            </w:pPr>
            <w:r>
              <w:rPr>
                <w:b w:val="0"/>
                <w:sz w:val="20"/>
              </w:rPr>
              <w:t>$________________</w:t>
            </w:r>
          </w:p>
        </w:tc>
      </w:tr>
      <w:tr>
        <w:tc>
          <w:tcPr>
            <w:tcW w:type="dxa" w:w="7344"/>
            <w:tcBorders>
              <w:top w:val="single" w:sz="4" w:color="D9D9D9"/>
              <w:left w:val="single" w:sz="4" w:color="D9D9D9"/>
              <w:bottom w:val="single" w:sz="4" w:color="D9D9D9"/>
              <w:right w:val="single" w:sz="4" w:color="D9D9D9"/>
            </w:tcBorders>
            <w:tcMar>
              <w:top w:w="95" w:type="dxa"/>
              <w:left w:w="95" w:type="dxa"/>
              <w:bottom w:w="95" w:type="dxa"/>
              <w:right w:w="95" w:type="dxa"/>
            </w:tcMar>
            <w:shd w:fill="FFFFFF"/>
            <w:vAlign w:val="center"/>
          </w:tcPr>
          <w:p>
            <w:pPr>
              <w:spacing w:after="0"/>
            </w:pPr>
            <w:r>
              <w:rPr>
                <w:b w:val="0"/>
                <w:sz w:val="20"/>
              </w:rPr>
              <w:t>Refundable security deposit due 30 days before the event</w:t>
            </w:r>
          </w:p>
        </w:tc>
        <w:tc>
          <w:tcPr>
            <w:tcW w:type="dxa" w:w="2736"/>
            <w:tcBorders>
              <w:top w:val="single" w:sz="4" w:color="D9D9D9"/>
              <w:left w:val="single" w:sz="4" w:color="D9D9D9"/>
              <w:bottom w:val="single" w:sz="4" w:color="D9D9D9"/>
              <w:right w:val="single" w:sz="4" w:color="D9D9D9"/>
            </w:tcBorders>
            <w:tcMar>
              <w:top w:w="95" w:type="dxa"/>
              <w:left w:w="95" w:type="dxa"/>
              <w:bottom w:w="95" w:type="dxa"/>
              <w:right w:w="95" w:type="dxa"/>
            </w:tcMar>
            <w:shd w:fill="FFFFFF"/>
            <w:vAlign w:val="center"/>
          </w:tcPr>
          <w:p>
            <w:pPr>
              <w:spacing w:after="0"/>
            </w:pPr>
            <w:r>
              <w:rPr>
                <w:b w:val="0"/>
                <w:sz w:val="20"/>
              </w:rPr>
              <w:t>$________________</w:t>
            </w:r>
          </w:p>
        </w:tc>
      </w:tr>
      <w:tr>
        <w:tc>
          <w:tcPr>
            <w:tcW w:type="dxa" w:w="7344"/>
            <w:tcBorders>
              <w:top w:val="single" w:sz="4" w:color="D9D9D9"/>
              <w:left w:val="single" w:sz="4" w:color="D9D9D9"/>
              <w:bottom w:val="single" w:sz="4" w:color="D9D9D9"/>
              <w:right w:val="single" w:sz="4" w:color="D9D9D9"/>
            </w:tcBorders>
            <w:tcMar>
              <w:top w:w="95" w:type="dxa"/>
              <w:left w:w="95" w:type="dxa"/>
              <w:bottom w:w="95" w:type="dxa"/>
              <w:right w:w="95" w:type="dxa"/>
            </w:tcMar>
            <w:shd w:fill="F5F7F8"/>
            <w:vAlign w:val="center"/>
          </w:tcPr>
          <w:p>
            <w:pPr>
              <w:spacing w:after="0"/>
            </w:pPr>
            <w:r>
              <w:rPr>
                <w:b w:val="0"/>
                <w:sz w:val="20"/>
              </w:rPr>
              <w:t>Balance and security deposit due date</w:t>
            </w:r>
          </w:p>
        </w:tc>
        <w:tc>
          <w:tcPr>
            <w:tcW w:type="dxa" w:w="2736"/>
            <w:tcBorders>
              <w:top w:val="single" w:sz="4" w:color="D9D9D9"/>
              <w:left w:val="single" w:sz="4" w:color="D9D9D9"/>
              <w:bottom w:val="single" w:sz="4" w:color="D9D9D9"/>
              <w:right w:val="single" w:sz="4" w:color="D9D9D9"/>
            </w:tcBorders>
            <w:tcMar>
              <w:top w:w="95" w:type="dxa"/>
              <w:left w:w="95" w:type="dxa"/>
              <w:bottom w:w="95" w:type="dxa"/>
              <w:right w:w="95" w:type="dxa"/>
            </w:tcMar>
            <w:shd w:fill="F5F7F8"/>
            <w:vAlign w:val="center"/>
          </w:tcPr>
          <w:p>
            <w:pPr>
              <w:spacing w:after="0"/>
            </w:pPr>
            <w:r>
              <w:rPr>
                <w:b w:val="0"/>
                <w:sz w:val="20"/>
              </w:rPr>
              <w:t>_________________</w:t>
            </w:r>
          </w:p>
        </w:tc>
      </w:tr>
    </w:tbl>
    <w:p>
      <w:pPr>
        <w:spacing w:before="120"/>
      </w:pPr>
      <w:r>
        <w:t>A signed agreement and the 25% booking deposit secure the date. The security deposit is $250 for full-facility events or $100 for smaller room reservations. For bookings made 30 days or fewer before the event, full payment and the security deposit are due with the signed agreement. If payment is overdue, GMHS may release the reservation; the cancellation terms on page 3 apply.</w:t>
      </w:r>
    </w:p>
    <w:p>
      <w:r>
        <w:br w:type="page"/>
      </w:r>
    </w:p>
    <w:p>
      <w:pPr>
        <w:pStyle w:val="Heading1"/>
      </w:pPr>
      <w:r>
        <w:t>Insurance and alcohol requirements</w:t>
      </w:r>
    </w:p>
    <w:p>
      <w:pPr>
        <w:pStyle w:val="Heading2"/>
      </w:pPr>
      <w:r>
        <w:t>Certificate of insurance required for all events</w:t>
      </w:r>
    </w:p>
    <w:p>
      <w:r>
        <w:t>The Organizer must provide a certificate of liability insurance (COI) at least 10 days before the event. The COI must show coverage for the event and list Gloucester-Mathews Humane Society (The Williams Center) as an additional insured.</w:t>
      </w:r>
    </w:p>
    <w:p>
      <w:pPr>
        <w:pStyle w:val="Heading2"/>
      </w:pPr>
      <w:r>
        <w:t>Virginia ABC license required when applicable</w:t>
      </w:r>
    </w:p>
    <w:p>
      <w:r>
        <w:t>The Organizer must obtain the appropriate Virginia Alcoholic Beverage Control (ABC) license or permit whenever required for the event. Requirements depend on the event, including whether it is public or private, whether admission or alcohol is sold, and how alcohol is supplied. The Organizer is responsible for confirming the applicable requirements with Virginia ABC.</w:t>
      </w:r>
    </w:p>
    <w:p>
      <w:r>
        <w:t>If alcohol is planned, provide any required ABC license and proof of liquor liability insurance to GMHS at least 10 days before the event. If no ABC license is required, provide written confirmation of the applicable exemption for GMHS review. Alcohol service must comply with all applicable laws and license conditions.</w:t>
      </w:r>
    </w:p>
    <w:p>
      <w:pPr>
        <w:spacing w:after="200" w:before="60"/>
      </w:pPr>
      <w:r>
        <w:t>License holder or caterer, if applicable: _____________________________________________</w:t>
      </w:r>
    </w:p>
    <w:p>
      <w:pPr>
        <w:spacing w:after="200" w:before="60"/>
      </w:pPr>
      <w:r>
        <w:t>ABC license number or exemption basis: ____________________________________________</w:t>
      </w:r>
    </w:p>
    <w:p>
      <w:pPr>
        <w:pStyle w:val="Heading1"/>
      </w:pPr>
      <w:r>
        <w:t>Facility rules</w:t>
      </w:r>
    </w:p>
    <w:p>
      <w:pPr>
        <w:pStyle w:val="Heading2"/>
      </w:pPr>
      <w:r>
        <w:t>Hours and access</w:t>
      </w:r>
    </w:p>
    <w:p>
      <w:r>
        <w:t>Events must end by 10 p.m. unless otherwise specified in this agreement. Use only the reserved rooms and areas. The Organizer may not sublet the space or make alterations without written permission from GMHS management.</w:t>
      </w:r>
    </w:p>
    <w:p>
      <w:pPr>
        <w:pStyle w:val="Heading2"/>
      </w:pPr>
      <w:r>
        <w:t>Smoking and prohibited items</w:t>
      </w:r>
    </w:p>
    <w:p>
      <w:r>
        <w:t>The facility is smoke, vape and tobacco free, including electronic smoking and vaping devices. Weapons are prohibited. Open-flame candles, smoke or fog machines, and pyrotechnics or fireworks are prohibited in the facility; smoke or fog machines and pyrotechnics or fireworks are also prohibited on GMHS grounds.</w:t>
      </w:r>
    </w:p>
    <w:p>
      <w:pPr>
        <w:pStyle w:val="Heading2"/>
      </w:pPr>
      <w:r>
        <w:t>Children and animals</w:t>
      </w:r>
    </w:p>
    <w:p>
      <w:r>
        <w:t>The Organizer is responsible for supervising all children. Pets are not permitted without written permission from the Shelter Manager.</w:t>
      </w:r>
    </w:p>
    <w:p>
      <w:pPr>
        <w:pStyle w:val="Heading2"/>
      </w:pPr>
      <w:r>
        <w:t>Emergency procedures</w:t>
      </w:r>
    </w:p>
    <w:p>
      <w:r>
        <w:t>If the fire alarm sounds, stop the event and evacuate immediately. No one may reenter until the fire department says it is safe.</w:t>
      </w:r>
    </w:p>
    <w:p>
      <w:pPr>
        <w:pStyle w:val="Heading2"/>
      </w:pPr>
      <w:r>
        <w:t>Parking</w:t>
      </w:r>
    </w:p>
    <w:p>
      <w:r>
        <w:t>Guests must use parking areas designated by GMHS and follow parking directions. GMHS is not responsible for vehicle damage or loss.</w:t>
      </w:r>
    </w:p>
    <w:p>
      <w:r>
        <w:br w:type="page"/>
      </w:r>
    </w:p>
    <w:p>
      <w:pPr>
        <w:pStyle w:val="Heading1"/>
      </w:pPr>
      <w:r>
        <w:t>Cleanup and return of the security deposit</w:t>
      </w:r>
    </w:p>
    <w:p>
      <w:r>
        <w:t>The Organizer has two hours after the event to clean the reserved areas. Cleanup or item removal the following morning is permitted; coordinate access and record the completion deadline on page 1. Leave the building and grounds in the condition in which they were received.</w:t>
      </w:r>
    </w:p>
    <w:p>
      <w:r>
        <w:t>GMHS will return the security deposit within 10 working days after the event, less documented damage or additional necessary cleaning. Additional cleaning is charged at $150 per hour. GMHS will provide an itemized explanation of any deductions.</w:t>
      </w:r>
    </w:p>
    <w:p>
      <w:pPr>
        <w:pStyle w:val="Heading1"/>
      </w:pPr>
      <w:r>
        <w:t>Cancellation</w:t>
      </w:r>
    </w:p>
    <w:p>
      <w:r>
        <w:t>Cancellation must be submitted in writing. The date GMHS receives the notice determines the amount retained from the total agreed facility-use donation:</w:t>
      </w:r>
    </w:p>
    <w:p>
      <w:r>
        <w:t>• 61 or more days before the event: full refund of all event payments.</w:t>
        <w:br/>
        <w:t>• 31–60 days before the event: GMHS retains the 25% booking deposit and refunds other event payments.</w:t>
        <w:br/>
        <w:t>• 30 days or fewer before the event, or a no-show: the full agreed facility-use donation is due and nonrefundable.</w:t>
      </w:r>
    </w:p>
    <w:p>
      <w:r>
        <w:t>There is no administrative cancellation charge. If the event does not take place, the separate security deposit will be refunded regardless of the cancellation date. If GMHS cancels because the facility is unavailable, all payments will be refunded, including the booking and security deposits.</w:t>
      </w:r>
    </w:p>
    <w:p>
      <w:pPr>
        <w:pStyle w:val="Heading1"/>
      </w:pPr>
      <w:r>
        <w:t>Changing the event date</w:t>
      </w:r>
    </w:p>
    <w:p>
      <w:r>
        <w:t>The Organizer may transfer the reservation once by providing written notice at least 30 days before the original event date. The new date is subject to availability. Payments already made will be applied to the new reservation. Confirm the new date and payment deadlines with GMHS in writing.</w:t>
      </w:r>
    </w:p>
    <w:p>
      <w:pPr>
        <w:pStyle w:val="Heading1"/>
      </w:pPr>
      <w:r>
        <w:t>Responsibility for the event</w:t>
      </w:r>
    </w:p>
    <w:p>
      <w:r>
        <w:t>The Organizer agrees to indemnify and hold harmless Gloucester-Mathews Humane Society from claims arising from the event.</w:t>
      </w:r>
    </w:p>
    <w:p>
      <w:pPr>
        <w:pStyle w:val="Heading1"/>
      </w:pPr>
      <w:r>
        <w:t>Additional agreed arrangements</w:t>
      </w:r>
    </w:p>
    <w:p>
      <w:pPr>
        <w:spacing w:after="200" w:before="60"/>
      </w:pPr>
      <w:r>
        <w:t>____________________________________________________________________________</w:t>
      </w:r>
    </w:p>
    <w:p>
      <w:pPr>
        <w:spacing w:after="200" w:before="60"/>
      </w:pPr>
      <w:r>
        <w:t>____________________________________________________________________________</w:t>
      </w:r>
    </w:p>
    <w:p>
      <w:pPr>
        <w:pStyle w:val="Heading1"/>
      </w:pPr>
      <w:r>
        <w:t>Agreement and signatures</w:t>
      </w:r>
    </w:p>
    <w:p>
      <w:r>
        <w:t>By signing below, the Organizer and GMHS agree to the reservation details and terms in this three-page agreement. Complete all applicable blanks before signing. Record any agreed exceptions or changes above.</w:t>
      </w:r>
    </w:p>
    <w:p>
      <w:pPr>
        <w:spacing w:after="200" w:before="60"/>
      </w:pPr>
      <w:r>
        <w:t>Organizer signature: _____________________________________   Date: ________________</w:t>
      </w:r>
    </w:p>
    <w:p>
      <w:pPr>
        <w:spacing w:after="200" w:before="60"/>
      </w:pPr>
      <w:r>
        <w:t>Printed name and title: _________________________________________________________</w:t>
      </w:r>
    </w:p>
    <w:p>
      <w:pPr>
        <w:spacing w:after="200" w:before="60"/>
      </w:pPr>
      <w:r>
        <w:t>GMHS representative signature: ____________________________   Date: ________________</w:t>
      </w:r>
    </w:p>
    <w:p>
      <w:pPr>
        <w:spacing w:after="200" w:before="60"/>
      </w:pPr>
      <w:r>
        <w:t>Printed name and title: _________________________________________________________</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The Williams Center  |  Facility Use Agreement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GLOUCESTER-MATHEWS HUMANE SOCIETY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